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A4" w:rsidRPr="0000268A" w:rsidRDefault="00BF7AA4" w:rsidP="0000268A">
      <w:pPr>
        <w:spacing w:after="240" w:line="480" w:lineRule="auto"/>
        <w:ind w:firstLine="720"/>
      </w:pPr>
    </w:p>
    <w:p w:rsidR="0097703D" w:rsidRPr="0000268A" w:rsidRDefault="0097703D" w:rsidP="0000268A">
      <w:pPr>
        <w:spacing w:after="240" w:line="480" w:lineRule="auto"/>
        <w:jc w:val="center"/>
      </w:pPr>
    </w:p>
    <w:p w:rsidR="0097703D" w:rsidRPr="0000268A" w:rsidRDefault="0097703D" w:rsidP="0000268A">
      <w:pPr>
        <w:spacing w:after="240" w:line="480" w:lineRule="auto"/>
        <w:jc w:val="center"/>
      </w:pPr>
    </w:p>
    <w:p w:rsidR="00BF7AA4" w:rsidRPr="0000268A" w:rsidRDefault="00BF7AA4" w:rsidP="0000268A">
      <w:pPr>
        <w:spacing w:after="240" w:line="480" w:lineRule="auto"/>
        <w:jc w:val="center"/>
      </w:pPr>
      <w:r w:rsidRPr="0000268A">
        <w:t>Language Ac</w:t>
      </w:r>
      <w:r w:rsidR="00A312AA" w:rsidRPr="0000268A">
        <w:t xml:space="preserve">quisition in Infant </w:t>
      </w:r>
      <w:r w:rsidRPr="0000268A">
        <w:t>Development</w:t>
      </w:r>
    </w:p>
    <w:p w:rsidR="00BF7AA4" w:rsidRPr="0000268A" w:rsidRDefault="00BF7AA4" w:rsidP="0000268A">
      <w:pPr>
        <w:spacing w:line="480" w:lineRule="auto"/>
        <w:jc w:val="center"/>
      </w:pPr>
      <w:r w:rsidRPr="0000268A">
        <w:t>Student’s Name</w:t>
      </w:r>
    </w:p>
    <w:p w:rsidR="00BF7AA4" w:rsidRPr="0000268A" w:rsidRDefault="00BF7AA4" w:rsidP="0000268A">
      <w:pPr>
        <w:spacing w:line="480" w:lineRule="auto"/>
        <w:jc w:val="center"/>
      </w:pPr>
      <w:r w:rsidRPr="0000268A">
        <w:t>Institutional Affiliation</w:t>
      </w:r>
    </w:p>
    <w:p w:rsidR="00BF7AA4" w:rsidRPr="0000268A" w:rsidRDefault="00BF7AA4" w:rsidP="0000268A">
      <w:pPr>
        <w:spacing w:line="480" w:lineRule="auto"/>
        <w:jc w:val="center"/>
      </w:pPr>
      <w:r w:rsidRPr="0000268A">
        <w:t>Course Code and Number</w:t>
      </w:r>
    </w:p>
    <w:p w:rsidR="00BF7AA4" w:rsidRPr="0000268A" w:rsidRDefault="00BF7AA4" w:rsidP="0000268A">
      <w:pPr>
        <w:spacing w:line="480" w:lineRule="auto"/>
        <w:jc w:val="center"/>
      </w:pPr>
      <w:r w:rsidRPr="0000268A">
        <w:t>Instructor’s Name</w:t>
      </w:r>
    </w:p>
    <w:p w:rsidR="00BF7AA4" w:rsidRPr="0000268A" w:rsidRDefault="00BF7AA4" w:rsidP="0000268A">
      <w:pPr>
        <w:spacing w:line="480" w:lineRule="auto"/>
        <w:jc w:val="center"/>
      </w:pPr>
      <w:r w:rsidRPr="0000268A">
        <w:t>Date</w:t>
      </w: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ind w:firstLine="720"/>
      </w:pPr>
    </w:p>
    <w:p w:rsidR="00BF7AA4" w:rsidRPr="0000268A" w:rsidRDefault="00BF7AA4" w:rsidP="0000268A">
      <w:pPr>
        <w:spacing w:after="240" w:line="480" w:lineRule="auto"/>
      </w:pPr>
    </w:p>
    <w:p w:rsidR="00304AC0" w:rsidRPr="0000268A" w:rsidRDefault="00304AC0" w:rsidP="0000268A">
      <w:pPr>
        <w:spacing w:after="240" w:line="480" w:lineRule="auto"/>
        <w:jc w:val="center"/>
        <w:rPr>
          <w:b/>
        </w:rPr>
      </w:pPr>
      <w:r w:rsidRPr="0000268A">
        <w:rPr>
          <w:b/>
        </w:rPr>
        <w:t>Language Acquisition in Infant and Toddler Development</w:t>
      </w:r>
    </w:p>
    <w:p w:rsidR="00A65412" w:rsidRPr="0000268A" w:rsidRDefault="006E269D" w:rsidP="0000268A">
      <w:pPr>
        <w:spacing w:after="240" w:line="480" w:lineRule="auto"/>
        <w:ind w:firstLine="720"/>
      </w:pPr>
      <w:r w:rsidRPr="0000268A">
        <w:t>There have always existed controversies in</w:t>
      </w:r>
      <w:r w:rsidR="00304AC0" w:rsidRPr="0000268A">
        <w:t xml:space="preserve"> the field of infant</w:t>
      </w:r>
      <w:r w:rsidRPr="0000268A">
        <w:t xml:space="preserve"> development stages. Amidst those, the issue of language acquisition has been one of the significant topics. Language acquisition has been a phenomenon that has resulted in many sources of contentment and varying perspectives in the field of infant and toddler development. The topic becomes controversial because a child's language acquisition and delays would be placed upon the innate language acquisition structure or the external environment structure. Even though the internal processes associated with language acquisition are not clearly understood, the processes are indeed interesting and unique. Usually, the process begins about four months after the child is born. Then, the children start babbling, a role that is not clearly comprehended. However, it is believed to have a unique medium aimed at helping children to understand the sound interaction and the people around them fully. The debate here is individuals trying to figure out if language entails a unique learning process or is a product of natural development reinforced by external and environmental cues. The controversy has massive implications for environmental enrichment and learning.</w:t>
      </w:r>
    </w:p>
    <w:p w:rsidR="00A65412" w:rsidRPr="0000268A" w:rsidRDefault="006E269D" w:rsidP="0000268A">
      <w:pPr>
        <w:spacing w:before="240" w:after="240" w:line="480" w:lineRule="auto"/>
        <w:ind w:firstLine="720"/>
      </w:pPr>
      <w:r w:rsidRPr="0000268A">
        <w:t xml:space="preserve">According to Lasnik &amp; Lohndal, 2017 infant and toddler language acquisition is determined by a belief system that they possess a distinct period of language acquisition. The nativist perspective states that children's language acquisition is a unique phenomenon that is associated with human experience within the child's development years. Nativist theory argues that language is a fundamental innate part of human genetic make-up and is acquired naturally as part of human experience. The child's brain contains an acquisition device that holds the grammatical universals. Lasnik &amp; Lohndal argues that infants and toddlers are born with the innate ability to organize and acquire laws of languages allowing them to learn native languages </w:t>
      </w:r>
      <w:r w:rsidRPr="0000268A">
        <w:lastRenderedPageBreak/>
        <w:t>easily. Notably, the theory emphasizes that children possess specific skills that aid them in mastering their native languages.</w:t>
      </w:r>
    </w:p>
    <w:p w:rsidR="00A65412" w:rsidRPr="0000268A" w:rsidRDefault="006E269D" w:rsidP="0000268A">
      <w:pPr>
        <w:spacing w:before="240" w:after="240" w:line="480" w:lineRule="auto"/>
        <w:ind w:firstLine="720"/>
      </w:pPr>
      <w:r w:rsidRPr="0000268A">
        <w:t>Moreover, the nativist theory saw children having been observed to easily pick up grammar and syntax without any learning or teachings. They appear to learn the fundamentals of native languages purely from the input that surrounds them. Lasnik &amp; Lohndal emphasize that the Language Acquisition Device inside the infant and toddler brains assist them in depicting grammatical structures of their native languages. Besides, they argue that the children subconsciously map new lexical items to their word-class and syntactic position. As such, Lasnik &amp; Lohndal believes that children can easily acquire the grammatical structure of any language input because they possess a building block in their minds. The implication is that language learning can be mainly attained at a specific period within life (i.e., the child development stage).</w:t>
      </w:r>
    </w:p>
    <w:p w:rsidR="00A65412" w:rsidRPr="0000268A" w:rsidRDefault="006E269D" w:rsidP="0000268A">
      <w:pPr>
        <w:spacing w:before="240" w:after="240" w:line="480" w:lineRule="auto"/>
        <w:ind w:firstLine="720"/>
      </w:pPr>
      <w:r w:rsidRPr="0000268A">
        <w:t>However, Lasnik &amp; Lohndal's perspective is contested by many linguists because of the fact that the language acquisition device has never been found inside the children's brain. The majority of the linguist suggests that the lexical items are acquired from input and social environments. Additionally, the perspective becomes controversial due to immense implications for learning. The learning not only occurs during child development but also is conducted during adult life. The perspective reveals a specific sensitive learning period in the infant development stage. As such, parenting techniques and enrichment must be present to ensure the languages are learned fully. Finally, the perspective contends that children's brains are uniquely molded to learn a language naturally but is not something that can easily occur during adulthood.</w:t>
      </w:r>
    </w:p>
    <w:p w:rsidR="00D435A7" w:rsidRPr="0000268A" w:rsidRDefault="00D435A7" w:rsidP="0000268A">
      <w:pPr>
        <w:spacing w:after="240" w:line="480" w:lineRule="auto"/>
        <w:ind w:firstLine="720"/>
      </w:pPr>
      <w:r w:rsidRPr="0000268A">
        <w:t>The other lan</w:t>
      </w:r>
      <w:r w:rsidR="00BF7AA4" w:rsidRPr="0000268A">
        <w:t>guage acquisition perspective is language</w:t>
      </w:r>
      <w:r w:rsidRPr="0000268A">
        <w:t xml:space="preserve"> learning process by use of lexical 'chunks.' It is regarded as receiving pieces of information rather than word by word.</w:t>
      </w:r>
      <w:r w:rsidR="00BF7AA4" w:rsidRPr="0000268A">
        <w:t xml:space="preserve"> Warren 2012, argues that language development</w:t>
      </w:r>
      <w:r w:rsidRPr="0000268A">
        <w:t xml:space="preserve"> </w:t>
      </w:r>
      <w:proofErr w:type="gramStart"/>
      <w:r w:rsidRPr="0000268A">
        <w:t>occur</w:t>
      </w:r>
      <w:proofErr w:type="gramEnd"/>
      <w:r w:rsidRPr="0000268A">
        <w:t xml:space="preserve"> by acquiring meaningful chunks such as words, syl</w:t>
      </w:r>
      <w:r w:rsidR="00BF7AA4" w:rsidRPr="0000268A">
        <w:t>labus, or phonemes. He</w:t>
      </w:r>
      <w:r w:rsidRPr="0000268A">
        <w:t xml:space="preserve"> argues that the environmental input plays a vital role in the child development state. In other words, it contends that language acquisition is based on specified chunks of information availed to the child. The perspective is not different from other forms of learning cognitive skills. Warren claims that emersion of skill set with environmental enrichment is important as the brain develops. The perspective views language as mastered by a continuous process that is ongoing inside the child's brain. Importantly, it places the parenting style and the amount of enrichment that a child receives.</w:t>
      </w:r>
    </w:p>
    <w:p w:rsidR="00D435A7" w:rsidRPr="0000268A" w:rsidRDefault="00D435A7" w:rsidP="0000268A">
      <w:pPr>
        <w:spacing w:before="240" w:after="240" w:line="480" w:lineRule="auto"/>
        <w:ind w:firstLine="720"/>
      </w:pPr>
      <w:r w:rsidRPr="0000268A">
        <w:t>The chunking theory is a direct opposition to the nativist approach. The theory becomes controversial because it contends that an infant can easily be molded with an application that is associated with the child's vocabulary. In addition, the approach contains the sociological implication that has explained cyclical rates relating to poverty and the class differences that continue to uphold as the child ages. The situation can limit children's success and the future prospect that the child receives as they develop. Essentially, the theory contends that infants and toddlers can be molded via the type of information they receive.</w:t>
      </w:r>
    </w:p>
    <w:p w:rsidR="00D435A7" w:rsidRPr="0000268A" w:rsidRDefault="00D435A7" w:rsidP="0000268A">
      <w:pPr>
        <w:spacing w:before="240" w:after="240" w:line="480" w:lineRule="auto"/>
        <w:ind w:firstLine="720"/>
      </w:pPr>
      <w:r w:rsidRPr="0000268A">
        <w:t>The two approaches have vast adult learning implications. According to Plunkett (2012), the human ability to learn a second language has completely become a multibillion-dollar industry. The developmental theories would argue that a foreseen outcome when an individual opts to on a long-term level. To illustrate, if the chunking approach, an individual can easily learn through the meaningful chunks and the cues presented within the external environment. In place of nativist theory, language acquisition ability in adult life at full understanding is a challenging issue and is impossible. Thus, the controversy contains clear implications on the basis of learning well beyond infant and toddler growing periods.</w:t>
      </w:r>
    </w:p>
    <w:p w:rsidR="00D435A7" w:rsidRPr="0000268A" w:rsidRDefault="00D435A7" w:rsidP="0000268A">
      <w:pPr>
        <w:spacing w:before="240" w:after="240" w:line="480" w:lineRule="auto"/>
        <w:ind w:firstLine="720"/>
      </w:pPr>
      <w:r w:rsidRPr="0000268A">
        <w:t xml:space="preserve">Ultimately, the two theories are controversial perspectives that are associated with development. They both portray the way infants and toddlers have the capacity to be affected by the external environment. They contain implications relating to the way children can grow into adult learning. It is a contention that reveals many perspectives in terms of how the child develops </w:t>
      </w:r>
      <w:r w:rsidR="00BF7AA4" w:rsidRPr="0000268A">
        <w:t>throughout</w:t>
      </w:r>
      <w:r w:rsidRPr="0000268A">
        <w:t xml:space="preserve"> their lives on a long-term level. In my o</w:t>
      </w:r>
      <w:r w:rsidR="00BF7AA4" w:rsidRPr="0000268A">
        <w:t>pinion,</w:t>
      </w:r>
      <w:r w:rsidRPr="0000268A">
        <w:t xml:space="preserve"> inferences that can be drawn</w:t>
      </w:r>
      <w:r w:rsidR="00BF7AA4" w:rsidRPr="0000268A">
        <w:t xml:space="preserve"> from the two perspective can be</w:t>
      </w:r>
      <w:r w:rsidRPr="0000268A">
        <w:t xml:space="preserve"> based on multiple development theories</w:t>
      </w:r>
      <w:r w:rsidR="00BF7AA4" w:rsidRPr="0000268A">
        <w:t xml:space="preserve"> due to their vast implications</w:t>
      </w:r>
      <w:r w:rsidRPr="0000268A">
        <w:t>. It is a debate that will continue broadening in-depth in the coming years.</w:t>
      </w: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p w:rsidR="00BF7AA4" w:rsidRPr="0000268A" w:rsidRDefault="00BF7AA4" w:rsidP="0000268A">
      <w:pPr>
        <w:spacing w:before="240" w:after="240" w:line="480" w:lineRule="auto"/>
      </w:pPr>
    </w:p>
    <w:p w:rsidR="00BF7AA4" w:rsidRPr="0000268A" w:rsidRDefault="00BF7AA4" w:rsidP="0000268A">
      <w:pPr>
        <w:spacing w:before="240" w:after="240" w:line="480" w:lineRule="auto"/>
      </w:pPr>
    </w:p>
    <w:p w:rsidR="00BF7AA4" w:rsidRPr="0000268A" w:rsidRDefault="00BF7AA4" w:rsidP="0000268A">
      <w:pPr>
        <w:spacing w:before="240" w:after="240" w:line="480" w:lineRule="auto"/>
      </w:pPr>
    </w:p>
    <w:p w:rsidR="00BF7AA4" w:rsidRPr="0000268A" w:rsidRDefault="00BF7AA4" w:rsidP="0000268A">
      <w:pPr>
        <w:spacing w:before="240" w:after="240" w:line="480" w:lineRule="auto"/>
      </w:pPr>
    </w:p>
    <w:p w:rsidR="00F73631" w:rsidRDefault="00F73631">
      <w:r>
        <w:br w:type="page"/>
      </w:r>
    </w:p>
    <w:p w:rsidR="00D435A7" w:rsidRPr="0000268A" w:rsidRDefault="00D435A7" w:rsidP="00F73631">
      <w:pPr>
        <w:tabs>
          <w:tab w:val="left" w:pos="2340"/>
        </w:tabs>
        <w:spacing w:before="240" w:after="240" w:line="480" w:lineRule="auto"/>
        <w:jc w:val="center"/>
      </w:pPr>
      <w:r w:rsidRPr="0000268A">
        <w:t>References</w:t>
      </w:r>
    </w:p>
    <w:p w:rsidR="00D435A7" w:rsidRPr="0000268A" w:rsidRDefault="00D435A7" w:rsidP="0000268A">
      <w:pPr>
        <w:spacing w:line="480" w:lineRule="auto"/>
        <w:ind w:left="720" w:hanging="720"/>
      </w:pPr>
      <w:r w:rsidRPr="0000268A">
        <w:t xml:space="preserve">Lasnik, H., &amp; Lohndal, T. (2017). Noam Chomsky. In </w:t>
      </w:r>
      <w:r w:rsidRPr="0000268A">
        <w:rPr>
          <w:i/>
          <w:iCs/>
        </w:rPr>
        <w:t>Oxford Research Encyclopedia of Linguistics</w:t>
      </w:r>
      <w:r w:rsidRPr="0000268A">
        <w:t>.</w:t>
      </w:r>
    </w:p>
    <w:p w:rsidR="00D435A7" w:rsidRPr="0000268A" w:rsidRDefault="00D435A7" w:rsidP="0000268A">
      <w:pPr>
        <w:spacing w:line="480" w:lineRule="auto"/>
        <w:ind w:left="720" w:hanging="720"/>
      </w:pPr>
      <w:r w:rsidRPr="0000268A">
        <w:rPr>
          <w:w w:val="102"/>
        </w:rPr>
        <w:t>Plunkett,</w:t>
      </w:r>
      <w:r w:rsidRPr="0000268A">
        <w:rPr>
          <w:spacing w:val="-5"/>
          <w:w w:val="102"/>
        </w:rPr>
        <w:t xml:space="preserve"> </w:t>
      </w:r>
      <w:r w:rsidRPr="0000268A">
        <w:rPr>
          <w:w w:val="102"/>
        </w:rPr>
        <w:t>A.</w:t>
      </w:r>
      <w:r w:rsidRPr="0000268A">
        <w:rPr>
          <w:spacing w:val="6"/>
          <w:w w:val="102"/>
        </w:rPr>
        <w:t xml:space="preserve"> </w:t>
      </w:r>
      <w:r w:rsidRPr="0000268A">
        <w:rPr>
          <w:w w:val="102"/>
        </w:rPr>
        <w:t>(2012)</w:t>
      </w:r>
      <w:r w:rsidRPr="0000268A">
        <w:rPr>
          <w:spacing w:val="6"/>
          <w:w w:val="102"/>
        </w:rPr>
        <w:t xml:space="preserve"> “Lexical</w:t>
      </w:r>
      <w:r w:rsidRPr="0000268A">
        <w:rPr>
          <w:color w:val="00000A"/>
          <w:w w:val="101"/>
        </w:rPr>
        <w:t>-semantic</w:t>
      </w:r>
      <w:r w:rsidRPr="0000268A">
        <w:rPr>
          <w:color w:val="00000A"/>
          <w:spacing w:val="7"/>
          <w:w w:val="101"/>
        </w:rPr>
        <w:t xml:space="preserve"> </w:t>
      </w:r>
      <w:r w:rsidRPr="0000268A">
        <w:rPr>
          <w:color w:val="00000A"/>
          <w:w w:val="101"/>
        </w:rPr>
        <w:t>priming</w:t>
      </w:r>
      <w:r w:rsidRPr="0000268A">
        <w:rPr>
          <w:color w:val="00000A"/>
          <w:spacing w:val="6"/>
          <w:w w:val="101"/>
        </w:rPr>
        <w:t xml:space="preserve"> </w:t>
      </w:r>
      <w:r w:rsidRPr="0000268A">
        <w:rPr>
          <w:color w:val="00000A"/>
          <w:w w:val="101"/>
        </w:rPr>
        <w:t>effects</w:t>
      </w:r>
      <w:r w:rsidRPr="0000268A">
        <w:rPr>
          <w:color w:val="00000A"/>
          <w:spacing w:val="4"/>
          <w:w w:val="101"/>
        </w:rPr>
        <w:t xml:space="preserve"> </w:t>
      </w:r>
      <w:r w:rsidRPr="0000268A">
        <w:rPr>
          <w:color w:val="00000A"/>
          <w:w w:val="101"/>
        </w:rPr>
        <w:t>during</w:t>
      </w:r>
      <w:r w:rsidRPr="0000268A">
        <w:rPr>
          <w:color w:val="00000A"/>
          <w:spacing w:val="4"/>
          <w:w w:val="101"/>
        </w:rPr>
        <w:t xml:space="preserve"> </w:t>
      </w:r>
      <w:r w:rsidRPr="0000268A">
        <w:rPr>
          <w:color w:val="00000A"/>
          <w:w w:val="101"/>
        </w:rPr>
        <w:t>infancy"</w:t>
      </w:r>
      <w:r w:rsidRPr="0000268A">
        <w:rPr>
          <w:rFonts w:eastAsia="Calibri"/>
          <w:i/>
          <w:w w:val="105"/>
        </w:rPr>
        <w:t xml:space="preserve"> Philos.</w:t>
      </w:r>
      <w:r w:rsidRPr="0000268A">
        <w:rPr>
          <w:rFonts w:eastAsia="Calibri"/>
          <w:i/>
          <w:spacing w:val="6"/>
          <w:w w:val="105"/>
        </w:rPr>
        <w:t xml:space="preserve"> </w:t>
      </w:r>
      <w:r w:rsidRPr="0000268A">
        <w:rPr>
          <w:rFonts w:eastAsia="Calibri"/>
          <w:i/>
          <w:w w:val="105"/>
        </w:rPr>
        <w:t>Trans.</w:t>
      </w:r>
      <w:r w:rsidRPr="0000268A">
        <w:rPr>
          <w:rFonts w:eastAsia="Calibri"/>
          <w:i/>
          <w:spacing w:val="6"/>
          <w:w w:val="105"/>
        </w:rPr>
        <w:t xml:space="preserve"> </w:t>
      </w:r>
      <w:r w:rsidRPr="0000268A">
        <w:rPr>
          <w:rFonts w:eastAsia="Calibri"/>
          <w:i/>
          <w:w w:val="105"/>
        </w:rPr>
        <w:t>R.</w:t>
      </w:r>
      <w:r w:rsidRPr="0000268A">
        <w:rPr>
          <w:rFonts w:eastAsia="Calibri"/>
          <w:i/>
          <w:spacing w:val="7"/>
          <w:w w:val="105"/>
        </w:rPr>
        <w:t xml:space="preserve"> </w:t>
      </w:r>
      <w:r w:rsidRPr="0000268A">
        <w:rPr>
          <w:rFonts w:eastAsia="Calibri"/>
          <w:i/>
          <w:w w:val="105"/>
        </w:rPr>
        <w:t>Soc.</w:t>
      </w:r>
      <w:r w:rsidRPr="0000268A">
        <w:rPr>
          <w:rFonts w:eastAsia="Calibri"/>
          <w:i/>
          <w:spacing w:val="6"/>
          <w:w w:val="105"/>
        </w:rPr>
        <w:t xml:space="preserve"> </w:t>
      </w:r>
      <w:r w:rsidRPr="0000268A">
        <w:rPr>
          <w:rFonts w:eastAsia="Calibri"/>
          <w:i/>
          <w:w w:val="107"/>
        </w:rPr>
        <w:t>Lond.,</w:t>
      </w:r>
      <w:r w:rsidRPr="0000268A">
        <w:rPr>
          <w:rFonts w:eastAsia="Calibri"/>
          <w:i/>
          <w:spacing w:val="6"/>
          <w:w w:val="107"/>
        </w:rPr>
        <w:t xml:space="preserve"> </w:t>
      </w:r>
      <w:r w:rsidRPr="0000268A">
        <w:rPr>
          <w:rFonts w:eastAsia="Calibri"/>
          <w:i/>
          <w:w w:val="107"/>
        </w:rPr>
        <w:t>B,</w:t>
      </w:r>
      <w:r w:rsidRPr="0000268A">
        <w:rPr>
          <w:rFonts w:eastAsia="Calibri"/>
          <w:i/>
          <w:spacing w:val="6"/>
          <w:w w:val="107"/>
        </w:rPr>
        <w:t xml:space="preserve"> </w:t>
      </w:r>
      <w:r w:rsidRPr="0000268A">
        <w:rPr>
          <w:rFonts w:eastAsia="Calibri"/>
          <w:i/>
          <w:w w:val="107"/>
        </w:rPr>
        <w:t>Biol.</w:t>
      </w:r>
      <w:r w:rsidRPr="0000268A">
        <w:rPr>
          <w:rFonts w:eastAsia="Calibri"/>
          <w:i/>
          <w:spacing w:val="6"/>
          <w:w w:val="107"/>
        </w:rPr>
        <w:t xml:space="preserve"> </w:t>
      </w:r>
      <w:r w:rsidRPr="0000268A">
        <w:rPr>
          <w:rFonts w:eastAsia="Calibri"/>
          <w:i/>
          <w:w w:val="107"/>
        </w:rPr>
        <w:t>Sci.</w:t>
      </w:r>
      <w:r w:rsidRPr="0000268A">
        <w:rPr>
          <w:rFonts w:eastAsia="Calibri"/>
          <w:b/>
          <w:w w:val="98"/>
        </w:rPr>
        <w:t xml:space="preserve"> 364 </w:t>
      </w:r>
      <w:r w:rsidRPr="0000268A">
        <w:t>(1536):</w:t>
      </w:r>
      <w:r w:rsidRPr="0000268A">
        <w:rPr>
          <w:spacing w:val="7"/>
        </w:rPr>
        <w:t xml:space="preserve"> </w:t>
      </w:r>
      <w:r w:rsidRPr="0000268A">
        <w:t>3633–47</w:t>
      </w:r>
    </w:p>
    <w:p w:rsidR="00D435A7" w:rsidRPr="0000268A" w:rsidRDefault="00D435A7" w:rsidP="0000268A">
      <w:pPr>
        <w:spacing w:after="160" w:line="480" w:lineRule="auto"/>
        <w:ind w:left="720" w:hanging="720"/>
      </w:pPr>
      <w:r w:rsidRPr="0000268A">
        <w:t>Warren,</w:t>
      </w:r>
      <w:r w:rsidRPr="0000268A">
        <w:rPr>
          <w:spacing w:val="6"/>
        </w:rPr>
        <w:t xml:space="preserve"> </w:t>
      </w:r>
      <w:r w:rsidRPr="0000268A">
        <w:t>S.</w:t>
      </w:r>
      <w:r w:rsidRPr="0000268A">
        <w:rPr>
          <w:spacing w:val="6"/>
        </w:rPr>
        <w:t xml:space="preserve"> </w:t>
      </w:r>
      <w:r w:rsidRPr="0000268A">
        <w:t>F.</w:t>
      </w:r>
      <w:r w:rsidRPr="0000268A">
        <w:rPr>
          <w:spacing w:val="6"/>
        </w:rPr>
        <w:t xml:space="preserve"> </w:t>
      </w:r>
      <w:r w:rsidRPr="0000268A">
        <w:t>(2012).</w:t>
      </w:r>
      <w:r w:rsidRPr="0000268A">
        <w:rPr>
          <w:spacing w:val="7"/>
        </w:rPr>
        <w:t xml:space="preserve"> </w:t>
      </w:r>
      <w:r w:rsidRPr="0000268A">
        <w:rPr>
          <w:color w:val="00000A"/>
          <w:w w:val="101"/>
        </w:rPr>
        <w:t>The</w:t>
      </w:r>
      <w:r w:rsidRPr="0000268A">
        <w:rPr>
          <w:color w:val="00000A"/>
          <w:spacing w:val="6"/>
          <w:w w:val="101"/>
        </w:rPr>
        <w:t xml:space="preserve"> </w:t>
      </w:r>
      <w:r w:rsidRPr="0000268A">
        <w:rPr>
          <w:color w:val="00000A"/>
          <w:w w:val="101"/>
        </w:rPr>
        <w:t>Effectiveness</w:t>
      </w:r>
      <w:r w:rsidRPr="0000268A">
        <w:rPr>
          <w:color w:val="00000A"/>
          <w:spacing w:val="4"/>
          <w:w w:val="101"/>
        </w:rPr>
        <w:t xml:space="preserve"> </w:t>
      </w:r>
      <w:r w:rsidRPr="0000268A">
        <w:rPr>
          <w:color w:val="00000A"/>
          <w:w w:val="101"/>
        </w:rPr>
        <w:t>of</w:t>
      </w:r>
      <w:r w:rsidRPr="0000268A">
        <w:rPr>
          <w:color w:val="00000A"/>
          <w:spacing w:val="6"/>
          <w:w w:val="101"/>
        </w:rPr>
        <w:t xml:space="preserve"> </w:t>
      </w:r>
      <w:r w:rsidRPr="0000268A">
        <w:rPr>
          <w:color w:val="00000A"/>
          <w:w w:val="101"/>
        </w:rPr>
        <w:t>Cochlear</w:t>
      </w:r>
      <w:r w:rsidRPr="0000268A">
        <w:rPr>
          <w:color w:val="00000A"/>
          <w:spacing w:val="6"/>
          <w:w w:val="101"/>
        </w:rPr>
        <w:t xml:space="preserve"> </w:t>
      </w:r>
      <w:r w:rsidRPr="0000268A">
        <w:rPr>
          <w:color w:val="00000A"/>
          <w:w w:val="101"/>
        </w:rPr>
        <w:t>Implants</w:t>
      </w:r>
      <w:r w:rsidRPr="0000268A">
        <w:rPr>
          <w:color w:val="00000A"/>
          <w:spacing w:val="4"/>
          <w:w w:val="101"/>
        </w:rPr>
        <w:t xml:space="preserve"> </w:t>
      </w:r>
      <w:r w:rsidRPr="0000268A">
        <w:rPr>
          <w:color w:val="00000A"/>
          <w:w w:val="101"/>
        </w:rPr>
        <w:t>for</w:t>
      </w:r>
      <w:r w:rsidRPr="0000268A">
        <w:rPr>
          <w:color w:val="00000A"/>
          <w:spacing w:val="4"/>
          <w:w w:val="101"/>
        </w:rPr>
        <w:t xml:space="preserve"> </w:t>
      </w:r>
      <w:r w:rsidRPr="0000268A">
        <w:rPr>
          <w:color w:val="00000A"/>
          <w:w w:val="101"/>
        </w:rPr>
        <w:t>Children</w:t>
      </w:r>
      <w:r w:rsidRPr="0000268A">
        <w:rPr>
          <w:color w:val="00000A"/>
          <w:spacing w:val="2"/>
          <w:w w:val="101"/>
        </w:rPr>
        <w:t xml:space="preserve"> </w:t>
      </w:r>
      <w:r w:rsidR="0059351E" w:rsidRPr="0000268A">
        <w:rPr>
          <w:color w:val="00000A"/>
          <w:w w:val="101"/>
        </w:rPr>
        <w:t>with</w:t>
      </w:r>
      <w:r w:rsidRPr="0000268A">
        <w:rPr>
          <w:color w:val="00000A"/>
          <w:spacing w:val="6"/>
          <w:w w:val="101"/>
        </w:rPr>
        <w:t xml:space="preserve"> </w:t>
      </w:r>
      <w:r w:rsidRPr="0000268A">
        <w:rPr>
          <w:color w:val="00000A"/>
          <w:w w:val="101"/>
        </w:rPr>
        <w:t>Prelingual</w:t>
      </w:r>
      <w:bookmarkStart w:id="0" w:name="_GoBack"/>
      <w:bookmarkEnd w:id="0"/>
      <w:r w:rsidRPr="0000268A">
        <w:rPr>
          <w:color w:val="00000A"/>
          <w:spacing w:val="5"/>
          <w:w w:val="101"/>
        </w:rPr>
        <w:t xml:space="preserve"> </w:t>
      </w:r>
      <w:r w:rsidRPr="0000268A">
        <w:rPr>
          <w:color w:val="00000A"/>
        </w:rPr>
        <w:t xml:space="preserve">Deafness" </w:t>
      </w:r>
      <w:r w:rsidRPr="0000268A">
        <w:rPr>
          <w:rFonts w:eastAsia="Calibri"/>
          <w:i/>
          <w:w w:val="102"/>
        </w:rPr>
        <w:t>Journal</w:t>
      </w:r>
      <w:r w:rsidRPr="0000268A">
        <w:rPr>
          <w:rFonts w:eastAsia="Calibri"/>
          <w:i/>
          <w:spacing w:val="7"/>
          <w:w w:val="102"/>
        </w:rPr>
        <w:t xml:space="preserve"> </w:t>
      </w:r>
      <w:r w:rsidRPr="0000268A">
        <w:rPr>
          <w:rFonts w:eastAsia="Calibri"/>
          <w:i/>
          <w:w w:val="102"/>
        </w:rPr>
        <w:t>of</w:t>
      </w:r>
      <w:r w:rsidRPr="0000268A">
        <w:rPr>
          <w:rFonts w:eastAsia="Calibri"/>
          <w:i/>
          <w:spacing w:val="5"/>
          <w:w w:val="102"/>
        </w:rPr>
        <w:t xml:space="preserve"> </w:t>
      </w:r>
      <w:r w:rsidRPr="0000268A">
        <w:rPr>
          <w:rFonts w:eastAsia="Calibri"/>
          <w:i/>
          <w:w w:val="102"/>
        </w:rPr>
        <w:t>Early</w:t>
      </w:r>
      <w:r w:rsidRPr="0000268A">
        <w:rPr>
          <w:rFonts w:eastAsia="Calibri"/>
          <w:i/>
          <w:spacing w:val="6"/>
          <w:w w:val="102"/>
        </w:rPr>
        <w:t xml:space="preserve"> </w:t>
      </w:r>
      <w:r w:rsidRPr="0000268A">
        <w:rPr>
          <w:rFonts w:eastAsia="Calibri"/>
          <w:i/>
          <w:w w:val="102"/>
        </w:rPr>
        <w:t xml:space="preserve">Intervention </w:t>
      </w:r>
      <w:r w:rsidRPr="0000268A">
        <w:rPr>
          <w:rFonts w:eastAsia="Calibri"/>
          <w:b/>
          <w:w w:val="98"/>
        </w:rPr>
        <w:t xml:space="preserve">23 </w:t>
      </w:r>
      <w:r w:rsidRPr="0000268A">
        <w:t>(4):</w:t>
      </w:r>
      <w:r w:rsidRPr="0000268A">
        <w:rPr>
          <w:spacing w:val="7"/>
        </w:rPr>
        <w:t xml:space="preserve"> </w:t>
      </w:r>
      <w:r w:rsidRPr="0000268A">
        <w:t>252–263.</w:t>
      </w:r>
    </w:p>
    <w:p w:rsidR="00D435A7" w:rsidRPr="0000268A" w:rsidRDefault="00D435A7" w:rsidP="0000268A">
      <w:pPr>
        <w:tabs>
          <w:tab w:val="left" w:pos="2340"/>
        </w:tabs>
        <w:spacing w:before="240" w:after="240" w:line="480" w:lineRule="auto"/>
      </w:pPr>
    </w:p>
    <w:p w:rsidR="00D435A7" w:rsidRPr="0000268A" w:rsidRDefault="00D435A7" w:rsidP="0000268A">
      <w:pPr>
        <w:spacing w:before="240" w:after="240" w:line="480" w:lineRule="auto"/>
      </w:pPr>
    </w:p>
    <w:p w:rsidR="00D435A7" w:rsidRPr="0000268A" w:rsidRDefault="00D435A7" w:rsidP="0000268A">
      <w:pPr>
        <w:spacing w:before="240" w:after="240" w:line="480" w:lineRule="auto"/>
      </w:pPr>
    </w:p>
    <w:sectPr w:rsidR="00D435A7" w:rsidRPr="0000268A">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69D" w:rsidRDefault="006E269D" w:rsidP="00BF7AA4">
      <w:r>
        <w:separator/>
      </w:r>
    </w:p>
  </w:endnote>
  <w:endnote w:type="continuationSeparator" w:id="0">
    <w:p w:rsidR="006E269D" w:rsidRDefault="006E269D" w:rsidP="00BF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69D" w:rsidRDefault="006E269D" w:rsidP="00BF7AA4">
      <w:r>
        <w:separator/>
      </w:r>
    </w:p>
  </w:footnote>
  <w:footnote w:type="continuationSeparator" w:id="0">
    <w:p w:rsidR="006E269D" w:rsidRDefault="006E269D" w:rsidP="00BF7A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22764"/>
      <w:docPartObj>
        <w:docPartGallery w:val="Page Numbers (Top of Page)"/>
        <w:docPartUnique/>
      </w:docPartObj>
    </w:sdtPr>
    <w:sdtEndPr>
      <w:rPr>
        <w:noProof/>
      </w:rPr>
    </w:sdtEndPr>
    <w:sdtContent>
      <w:p w:rsidR="00BF7AA4" w:rsidRDefault="00BF7AA4">
        <w:pPr>
          <w:pStyle w:val="Header"/>
          <w:jc w:val="right"/>
        </w:pPr>
        <w:r>
          <w:fldChar w:fldCharType="begin"/>
        </w:r>
        <w:r>
          <w:instrText xml:space="preserve"> PAGE   \* MERGEFORMAT </w:instrText>
        </w:r>
        <w:r>
          <w:fldChar w:fldCharType="separate"/>
        </w:r>
        <w:r w:rsidR="0059351E">
          <w:rPr>
            <w:noProof/>
          </w:rPr>
          <w:t>6</w:t>
        </w:r>
        <w:r>
          <w:rPr>
            <w:noProof/>
          </w:rPr>
          <w:fldChar w:fldCharType="end"/>
        </w:r>
      </w:p>
    </w:sdtContent>
  </w:sdt>
  <w:p w:rsidR="00BF7AA4" w:rsidRDefault="00BF7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12"/>
    <w:rsid w:val="0000268A"/>
    <w:rsid w:val="00304AC0"/>
    <w:rsid w:val="0059351E"/>
    <w:rsid w:val="006E269D"/>
    <w:rsid w:val="0097703D"/>
    <w:rsid w:val="00A312AA"/>
    <w:rsid w:val="00A65412"/>
    <w:rsid w:val="00BF7AA4"/>
    <w:rsid w:val="00D435A7"/>
    <w:rsid w:val="00F7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C3EC"/>
  <w15:docId w15:val="{181F156E-C4BE-4B5F-B830-3C63972A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7AA4"/>
    <w:pPr>
      <w:tabs>
        <w:tab w:val="center" w:pos="4680"/>
        <w:tab w:val="right" w:pos="9360"/>
      </w:tabs>
    </w:pPr>
  </w:style>
  <w:style w:type="character" w:customStyle="1" w:styleId="HeaderChar">
    <w:name w:val="Header Char"/>
    <w:basedOn w:val="DefaultParagraphFont"/>
    <w:link w:val="Header"/>
    <w:uiPriority w:val="99"/>
    <w:rsid w:val="00BF7AA4"/>
    <w:rPr>
      <w:sz w:val="24"/>
      <w:szCs w:val="24"/>
    </w:rPr>
  </w:style>
  <w:style w:type="paragraph" w:styleId="Footer">
    <w:name w:val="footer"/>
    <w:basedOn w:val="Normal"/>
    <w:link w:val="FooterChar"/>
    <w:uiPriority w:val="99"/>
    <w:unhideWhenUsed/>
    <w:rsid w:val="00BF7AA4"/>
    <w:pPr>
      <w:tabs>
        <w:tab w:val="center" w:pos="4680"/>
        <w:tab w:val="right" w:pos="9360"/>
      </w:tabs>
    </w:pPr>
  </w:style>
  <w:style w:type="character" w:customStyle="1" w:styleId="FooterChar">
    <w:name w:val="Footer Char"/>
    <w:basedOn w:val="DefaultParagraphFont"/>
    <w:link w:val="Footer"/>
    <w:uiPriority w:val="99"/>
    <w:rsid w:val="00BF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7</cp:revision>
  <dcterms:created xsi:type="dcterms:W3CDTF">2021-06-08T05:26:00Z</dcterms:created>
  <dcterms:modified xsi:type="dcterms:W3CDTF">2021-06-08T05:28:00Z</dcterms:modified>
</cp:coreProperties>
</file>